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Jednoduchtabulka1"/>
        <w:tblW w:w="1627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864"/>
        <w:gridCol w:w="623"/>
        <w:gridCol w:w="770"/>
        <w:gridCol w:w="1694"/>
        <w:gridCol w:w="1712"/>
        <w:gridCol w:w="1712"/>
        <w:gridCol w:w="1695"/>
        <w:gridCol w:w="6352"/>
      </w:tblGrid>
      <w:tr w:rsidR="00B1426E" w14:paraId="37767CC2" w14:textId="77777777">
        <w:trPr>
          <w:tblHeader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5A2489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Příjezd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3877C8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Odjezd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1580F98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Vlak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A5B0F30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Směr</w:t>
            </w:r>
          </w:p>
        </w:tc>
        <w:tc>
          <w:tcPr>
            <w:tcW w:w="22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7D88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Poznámky</w:t>
            </w:r>
          </w:p>
        </w:tc>
      </w:tr>
      <w:tr w:rsidR="00B1426E" w14:paraId="0499D4AE" w14:textId="77777777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CFAB6" w14:textId="77777777" w:rsidR="00B1426E" w:rsidRDefault="00B1426E">
            <w:pPr>
              <w:widowControl/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B08F6" w14:textId="77777777" w:rsidR="00B1426E" w:rsidRDefault="00B1426E">
            <w:pPr>
              <w:widowControl/>
              <w:rPr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A38DFA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Druh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8A63AD" w14:textId="77777777" w:rsidR="00B1426E" w:rsidRDefault="00000000">
            <w:pPr>
              <w:widowControl/>
              <w:jc w:val="center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Číslo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tcMar>
              <w:left w:w="51" w:type="dxa"/>
              <w:right w:w="0" w:type="dxa"/>
            </w:tcMar>
          </w:tcPr>
          <w:p w14:paraId="6E1E8BA2" w14:textId="77777777" w:rsidR="00B1426E" w:rsidRDefault="00000000">
            <w:pPr>
              <w:widowControl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Z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4DFB100" w14:textId="77777777" w:rsidR="00B1426E" w:rsidRDefault="00000000">
            <w:pPr>
              <w:widowControl/>
              <w:jc w:val="center"/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 wp14:anchorId="3261A21B" wp14:editId="6694A5B8">
                  <wp:extent cx="1221740" cy="99060"/>
                  <wp:effectExtent l="0" t="0" r="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 dpi="0"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99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51" w:type="dxa"/>
            </w:tcMar>
          </w:tcPr>
          <w:p w14:paraId="34961D40" w14:textId="77777777" w:rsidR="00B1426E" w:rsidRDefault="00000000">
            <w:pPr>
              <w:widowControl/>
              <w:jc w:val="right"/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CE854" w14:textId="77777777" w:rsidR="00B1426E" w:rsidRDefault="00B1426E">
            <w:pPr>
              <w:widowControl/>
              <w:rPr>
                <w:bCs/>
              </w:rPr>
            </w:pPr>
          </w:p>
        </w:tc>
      </w:tr>
      <w:tr w:rsidR="00B1426E" w14:paraId="67227A2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80DBE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81B5D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2AC3E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AABFA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881741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03:42)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F0F66C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04:26)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B2A76F5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681C45B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B5329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6381F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7D747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E8BDC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C4A9D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04:33)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7B4B2AB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36EC8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7B1BE3F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FAC4FE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83495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7A2177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6B80F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3FF8F9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05:35)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3F2F7E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0DAFBD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09E5B87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806445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7898F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903F9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CE3C51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0BEEC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D3F459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51F30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4F5D17C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E1EA3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E43DE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2726D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0A3691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DC0328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06:26)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72155C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07:09)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5AA3FC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72970FF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165CB0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2B1CB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FA844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B0ACB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DEF96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12568E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8F6EB6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1FE7DBD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4C340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74942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63C0E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EC54F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84ECB5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979DF8D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82118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5B6BD63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EA630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6E526A1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07E5B4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03DD7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54FFF9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4ECA25E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1D986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23D46A7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30519E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BF6F5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C1E12F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CABC2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A16BB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08:33)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FADA710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3EF0661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2A34981F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06208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1B33E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BA2589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2C88F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27708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D905BB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09:33)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61AE3A8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10:22)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9C60A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5B3FB127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EBCB29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1CB9E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113B0D9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7452F1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9EC6C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E3CE1B1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AB0085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5F2AA904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57BFFE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153FD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3F362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0C892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EF645A2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10:35)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DA0EA0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6FE180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0F1B66A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2A2DD2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0B69F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9ED6DD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9CCA8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12274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7AD71F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9B766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5F72F8A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3ED95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B246D97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8D204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41C4FB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29CB36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11:33)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6599E7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CE111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1CF5D2B8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B9C8D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5B372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85F927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83652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CD7026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12:33)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5444DD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BE28AD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0307C78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DA1AA8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187E3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CAE2CF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00C42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7292F1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13:33)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77C01FD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14:16)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6529F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4F6ECD2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7DE42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4A7684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58DCD7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1CE48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8788A6E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36360F2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8B0C96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0A52DCE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8C22CC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3C0084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4ECB354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A85C3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E71E8D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14:32)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8BB5E7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CE3EF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4F21DDE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F0785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45317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8875B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19614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AB67CB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5DA9B93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8F00E2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1F0F7C86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14BC8C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635C6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5DCC5E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A099F1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3E6B6D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ABE2E8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F2CA6F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B1426E" w14:paraId="365A1F8C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028EC2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CF7AAD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461054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14E14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27718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12D170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15:33)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9F96019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E8719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B1426E" w14:paraId="2B48BE35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A78FD2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E956D7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595E21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210A25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2FDC3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E1FD4EA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637F1ED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208DF76E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0B5B81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663429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8FE493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4C6D6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27720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0E8DE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16:32)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A67475D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29903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51A455BA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159F6F4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363A6C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101628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D2EAD3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27727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2B6EED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17:31)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F5973A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B7863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 a , , , , </w:t>
            </w:r>
          </w:p>
        </w:tc>
      </w:tr>
      <w:tr w:rsidR="00B1426E" w14:paraId="22B77BF2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8799C6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C731C5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712795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AC6BD21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27725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552546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17:34)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7C12AF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CE5B0A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B1426E" w14:paraId="44D56A43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41AB4F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F9EA2C8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3D7AE2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44092F7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52D92E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17:33)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162B68B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18:17)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301BDA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 a 27.X., , , , </w:t>
            </w:r>
          </w:p>
        </w:tc>
      </w:tr>
      <w:tr w:rsidR="00B1426E" w14:paraId="413B9D90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5A67D4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94E018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9DD697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23E0EF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27729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D0BE5E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241588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35AE62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jede v , , , , </w:t>
            </w:r>
          </w:p>
        </w:tc>
      </w:tr>
      <w:tr w:rsidR="00B1426E" w14:paraId="76E89BF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71876C7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091857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18:59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9BAD40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F657659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27724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27A11B1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18:32)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0059995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19:20)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1E19A4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51F7C88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4B52CD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585747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BD2D772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2A009CD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27731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0A4F20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E71B91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20:50)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71955A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70F3B66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9D59DBE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31157AC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21:28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5D063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AC3AC85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27726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BE3A90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21:03)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FD994C2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21:46)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2CA646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20E61C8D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50AA5C1F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29CFA16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22:23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4B32FC40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E04106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27733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7CF6CBA8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22:05)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2EFF6BA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22:50)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AD8F970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  <w:tr w:rsidR="00B1426E" w14:paraId="3FF7F6A1" w14:textId="77777777">
        <w:trPr>
          <w:cantSplit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36E1FF33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708274A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23:38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D7FA9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Os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2EB5D30B" w14:textId="77777777" w:rsidR="00B1426E" w:rsidRDefault="00000000">
            <w:pPr>
              <w:widowControl/>
              <w:jc w:val="center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27728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106E1275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 xml:space="preserve">Zadní </w:t>
            </w: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Třebaň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23:13)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69C6D497" w14:textId="77777777" w:rsidR="00B1426E" w:rsidRDefault="00000000">
            <w:pPr>
              <w:widowControl/>
              <w:jc w:val="right"/>
              <w:rPr>
                <w:rFonts w:ascii="OGJR" w:hAnsi="OGJR" w:cs="OGJR"/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OGJR" w:hAnsi="OGJR" w:cs="OGJR"/>
                <w:b/>
                <w:bCs/>
                <w:color w:val="000000"/>
                <w:sz w:val="24"/>
                <w:szCs w:val="24"/>
              </w:rPr>
              <w:t>Lochovice</w:t>
            </w:r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(</w:t>
            </w:r>
            <w:proofErr w:type="gramEnd"/>
            <w:r>
              <w:rPr>
                <w:rFonts w:ascii="OGJR" w:hAnsi="OGJR" w:cs="OGJR"/>
                <w:bCs/>
                <w:color w:val="000000"/>
                <w:sz w:val="24"/>
                <w:szCs w:val="24"/>
              </w:rPr>
              <w:t>23:56)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1" w:type="dxa"/>
              <w:bottom w:w="6" w:type="dxa"/>
              <w:right w:w="51" w:type="dxa"/>
            </w:tcMar>
          </w:tcPr>
          <w:p w14:paraId="0BD686A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20"/>
                <w:szCs w:val="20"/>
              </w:rPr>
            </w:pPr>
            <w:r>
              <w:rPr>
                <w:rFonts w:ascii="OGJR" w:hAnsi="OGJR" w:cs="OGJR"/>
                <w:bCs/>
                <w:color w:val="000000"/>
                <w:sz w:val="20"/>
                <w:szCs w:val="20"/>
              </w:rPr>
              <w:t>ČD, S76, , , , </w:t>
            </w:r>
          </w:p>
        </w:tc>
      </w:tr>
    </w:tbl>
    <w:p w14:paraId="26BD490B" w14:textId="77777777" w:rsidR="00B1426E" w:rsidRDefault="00B1426E">
      <w:pPr>
        <w:widowControl/>
        <w:rPr>
          <w:bCs/>
        </w:rPr>
        <w:sectPr w:rsidR="00B1426E">
          <w:headerReference w:type="default" r:id="rId7"/>
          <w:footerReference w:type="default" r:id="rId8"/>
          <w:pgSz w:w="16839" w:h="23814" w:code="8"/>
          <w:pgMar w:top="1440" w:right="567" w:bottom="1440" w:left="567" w:header="720" w:footer="720" w:gutter="0"/>
          <w:cols w:space="708"/>
        </w:sectPr>
      </w:pPr>
    </w:p>
    <w:p w14:paraId="46A7FA92" w14:textId="77777777" w:rsidR="00B1426E" w:rsidRDefault="00B1426E">
      <w:pPr>
        <w:widowControl/>
        <w:rPr>
          <w:bCs/>
        </w:rPr>
        <w:sectPr w:rsidR="00B1426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</w:p>
    <w:p w14:paraId="35448922" w14:textId="77777777" w:rsidR="00B1426E" w:rsidRDefault="00000000">
      <w:pPr>
        <w:widowControl/>
        <w:rPr>
          <w:rFonts w:ascii="OGJR" w:hAnsi="OGJR" w:cs="OGJR"/>
          <w:b/>
          <w:bCs/>
          <w:color w:val="000000"/>
          <w:sz w:val="24"/>
          <w:szCs w:val="24"/>
        </w:rPr>
        <w:sectPr w:rsidR="00B1426E">
          <w:type w:val="continuous"/>
          <w:pgSz w:w="16839" w:h="23814" w:code="8"/>
          <w:pgMar w:top="1440" w:right="567" w:bottom="1440" w:left="567" w:header="720" w:footer="720" w:gutter="0"/>
          <w:cols w:space="0"/>
        </w:sectPr>
      </w:pPr>
      <w:r>
        <w:rPr>
          <w:rFonts w:ascii="OGJR" w:hAnsi="OGJR" w:cs="OGJR"/>
          <w:b/>
          <w:bCs/>
          <w:color w:val="000000"/>
          <w:sz w:val="24"/>
          <w:szCs w:val="24"/>
        </w:rPr>
        <w:t xml:space="preserve">VYSVĚTLIVKY: </w:t>
      </w: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1426E" w14:paraId="3BC79800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4DABE1" w14:textId="77777777" w:rsidR="00B1426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Druh vlaku</w:t>
            </w:r>
          </w:p>
        </w:tc>
      </w:tr>
      <w:tr w:rsidR="00B1426E" w14:paraId="433C8C0F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31F19D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B2FC8F1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Osobní vlak</w:t>
            </w:r>
          </w:p>
        </w:tc>
      </w:tr>
    </w:tbl>
    <w:p w14:paraId="04D5F25F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1426E" w14:paraId="3F65A43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FCE9A" w14:textId="77777777" w:rsidR="00B1426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Linky osobní dopravy</w:t>
            </w:r>
          </w:p>
        </w:tc>
      </w:tr>
      <w:tr w:rsidR="00B1426E" w14:paraId="724A3129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5A9E23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S76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7186B8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Zadní Třebáň – Lochovice</w:t>
            </w:r>
          </w:p>
        </w:tc>
      </w:tr>
    </w:tbl>
    <w:p w14:paraId="234CD673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2356"/>
        <w:gridCol w:w="4711"/>
      </w:tblGrid>
      <w:tr w:rsidR="00B1426E" w14:paraId="06293598" w14:textId="77777777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BCAA0" w14:textId="77777777" w:rsidR="00B1426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Dopravce vlaku</w:t>
            </w:r>
          </w:p>
        </w:tc>
      </w:tr>
      <w:tr w:rsidR="00B1426E" w14:paraId="7DEB8980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5F9B70C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ČD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7F0355C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České dráhy, a.s.</w:t>
            </w:r>
          </w:p>
        </w:tc>
        <w:tc>
          <w:tcPr>
            <w:tcW w:w="1668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53BB06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Nábřeží L. Svobody 1222, 110 15 Praha 1</w:t>
            </w:r>
          </w:p>
        </w:tc>
      </w:tr>
    </w:tbl>
    <w:p w14:paraId="50070024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1426E" w14:paraId="262D52ED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9D3CAC" w14:textId="77777777" w:rsidR="00B1426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Omezení jízdy</w:t>
            </w:r>
          </w:p>
        </w:tc>
      </w:tr>
      <w:tr w:rsidR="00B1426E" w14:paraId="600BFC7B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3D309A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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226A81B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pracovní dny</w:t>
            </w:r>
          </w:p>
        </w:tc>
      </w:tr>
      <w:tr w:rsidR="00B1426E" w14:paraId="3CEA97F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46E1F15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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F5988F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neděle a státem uznané svátky</w:t>
            </w:r>
          </w:p>
        </w:tc>
      </w:tr>
      <w:tr w:rsidR="00B1426E" w14:paraId="2F5EBC0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ED5B049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-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6D89F29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dny v týdnu (pondělí-neděle)</w:t>
            </w:r>
          </w:p>
        </w:tc>
      </w:tr>
    </w:tbl>
    <w:p w14:paraId="6060A4CC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tbl>
      <w:tblPr>
        <w:tblStyle w:val="Jednoduchtabulka1"/>
        <w:tblW w:w="5000" w:type="pct"/>
        <w:tblInd w:w="-5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ook w:val="04A0" w:firstRow="1" w:lastRow="0" w:firstColumn="1" w:lastColumn="0" w:noHBand="0" w:noVBand="1"/>
      </w:tblPr>
      <w:tblGrid>
        <w:gridCol w:w="785"/>
        <w:gridCol w:w="7067"/>
      </w:tblGrid>
      <w:tr w:rsidR="00B1426E" w14:paraId="4DAE14DC" w14:textId="77777777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F05CA" w14:textId="77777777" w:rsidR="00B1426E" w:rsidRDefault="00000000">
            <w:pPr>
              <w:keepNext/>
              <w:widowControl/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OGJR" w:hAnsi="OGJR" w:cs="OGJR"/>
                <w:b/>
                <w:bCs/>
                <w:color w:val="000000"/>
                <w:sz w:val="18"/>
                <w:szCs w:val="18"/>
              </w:rPr>
              <w:t>Další informace o vlaku</w:t>
            </w:r>
          </w:p>
        </w:tc>
      </w:tr>
      <w:tr w:rsidR="00B1426E" w14:paraId="35FFA7DE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A632D24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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39C7832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Vlak zastavuje jen na znamení nebo požádání. Cestující, který chce do vlaku nastoupit, je povinen zaujmout na nástupišti takové místo, aby mohl být strojvedoucím vlaku včas spatřen. Cestující, který chce z vlaku vystoupit, je povinen kladně reagovat na dotaz zaměstnance dopravce ve vlaku nebo obsloužit signalizační zařízení. Pokud soupravu tvoří více vozů a tyto jsou bez signalizačního zařízení, vlak zastaví vždy.</w:t>
            </w:r>
          </w:p>
        </w:tc>
      </w:tr>
      <w:tr w:rsidR="00B1426E" w14:paraId="693DD957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2BD7BFAC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EE10307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samoobslužný způsob odbavení cestujících</w:t>
            </w:r>
          </w:p>
        </w:tc>
      </w:tr>
      <w:tr w:rsidR="00B1426E" w14:paraId="0FBB0CFD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04C7C87C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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7F62E368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vůz vhodný pro přepravu cestujících na vozíku, je nutné objednání přepravy</w:t>
            </w:r>
          </w:p>
        </w:tc>
      </w:tr>
      <w:tr w:rsidR="00B1426E" w14:paraId="38F3C66A" w14:textId="77777777">
        <w:trPr>
          <w:cantSplit/>
        </w:trPr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15EDF14C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</w:t>
            </w:r>
          </w:p>
        </w:tc>
        <w:tc>
          <w:tcPr>
            <w:tcW w:w="4500" w:type="pct"/>
            <w:tcBorders>
              <w:top w:val="nil"/>
              <w:left w:val="nil"/>
              <w:bottom w:val="nil"/>
              <w:right w:val="nil"/>
            </w:tcBorders>
            <w:tcMar>
              <w:left w:w="108" w:type="dxa"/>
              <w:right w:w="108" w:type="dxa"/>
            </w:tcMar>
          </w:tcPr>
          <w:p w14:paraId="644EAA9A" w14:textId="77777777" w:rsidR="00B1426E" w:rsidRDefault="00000000">
            <w:pPr>
              <w:widowControl/>
              <w:rPr>
                <w:rFonts w:ascii="OGJR" w:hAnsi="OGJR" w:cs="OGJR"/>
                <w:bCs/>
                <w:color w:val="000000"/>
                <w:sz w:val="16"/>
                <w:szCs w:val="16"/>
              </w:rPr>
            </w:pPr>
            <w:r>
              <w:rPr>
                <w:rFonts w:ascii="OGJR" w:hAnsi="OGJR" w:cs="OGJR"/>
                <w:bCs/>
                <w:color w:val="000000"/>
                <w:sz w:val="16"/>
                <w:szCs w:val="16"/>
              </w:rPr>
              <w:t>přeprava spoluzavazadel (do vyčerpání kapacity)</w:t>
            </w:r>
          </w:p>
        </w:tc>
      </w:tr>
    </w:tbl>
    <w:p w14:paraId="7B0F9CA2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p w14:paraId="20F8E1AC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  <w:sectPr w:rsidR="00B1426E">
          <w:type w:val="continuous"/>
          <w:pgSz w:w="16839" w:h="23814" w:code="8"/>
          <w:pgMar w:top="1440" w:right="567" w:bottom="1440" w:left="567" w:header="720" w:footer="720" w:gutter="0"/>
          <w:cols w:num="2" w:space="0"/>
        </w:sectPr>
      </w:pPr>
    </w:p>
    <w:p w14:paraId="06F64FD7" w14:textId="77777777" w:rsidR="00B1426E" w:rsidRDefault="00B1426E">
      <w:pPr>
        <w:widowControl/>
        <w:rPr>
          <w:rFonts w:ascii="OGJR" w:hAnsi="OGJR" w:cs="OGJR"/>
          <w:b/>
          <w:bCs/>
          <w:color w:val="000000"/>
          <w:sz w:val="10"/>
          <w:szCs w:val="10"/>
        </w:rPr>
      </w:pPr>
    </w:p>
    <w:sectPr w:rsidR="00B1426E">
      <w:type w:val="continuous"/>
      <w:pgSz w:w="16839" w:h="23814" w:code="8"/>
      <w:pgMar w:top="1440" w:right="567" w:bottom="1440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55165" w14:textId="77777777" w:rsidR="00D84767" w:rsidRDefault="00D84767">
      <w:r>
        <w:separator/>
      </w:r>
    </w:p>
  </w:endnote>
  <w:endnote w:type="continuationSeparator" w:id="0">
    <w:p w14:paraId="2EA23E6C" w14:textId="77777777" w:rsidR="00D84767" w:rsidRDefault="00D8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GJR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4555"/>
      <w:gridCol w:w="5742"/>
      <w:gridCol w:w="4554"/>
      <w:gridCol w:w="854"/>
    </w:tblGrid>
    <w:tr w:rsidR="00B1426E" w14:paraId="67544110" w14:textId="77777777">
      <w:trPr>
        <w:jc w:val="center"/>
      </w:trPr>
      <w:tc>
        <w:tcPr>
          <w:tcW w:w="3749" w:type="auto"/>
          <w:gridSpan w:val="3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8EF5A9E" w14:textId="77777777" w:rsidR="00B1426E" w:rsidRDefault="00000000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  <w:r>
            <w:rPr>
              <w:rFonts w:ascii="OGJR" w:hAnsi="OGJR" w:cs="OGJR"/>
              <w:color w:val="FF0000"/>
              <w:sz w:val="16"/>
              <w:szCs w:val="16"/>
            </w:rPr>
            <w:t>Seznam vlaků odráží stav pravidelné dopravy. Pro aktuální informace sledujte operativní informace dopravců.</w:t>
          </w:r>
        </w:p>
        <w:p w14:paraId="617416C5" w14:textId="77777777" w:rsidR="00B1426E" w:rsidRDefault="00B1426E">
          <w:pPr>
            <w:widowControl/>
            <w:jc w:val="center"/>
            <w:rPr>
              <w:rFonts w:ascii="OGJR" w:hAnsi="OGJR" w:cs="OGJR"/>
              <w:color w:val="FF0000"/>
              <w:sz w:val="16"/>
              <w:szCs w:val="16"/>
            </w:rPr>
          </w:pPr>
        </w:p>
      </w:tc>
      <w:tc>
        <w:tcPr>
          <w:tcW w:w="1250" w:type="auto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3D9A6653" w14:textId="77777777" w:rsidR="00B1426E" w:rsidRDefault="00B1426E">
          <w:pPr>
            <w:widowControl/>
          </w:pPr>
        </w:p>
      </w:tc>
    </w:tr>
    <w:tr w:rsidR="00B1426E" w14:paraId="43311823" w14:textId="77777777">
      <w:trPr>
        <w:cantSplit/>
        <w:jc w:val="center"/>
      </w:trPr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650E485" w14:textId="77777777" w:rsidR="00B1426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Správa železnic, státní organizace</w:t>
          </w:r>
        </w:p>
        <w:p w14:paraId="085B96C4" w14:textId="77777777" w:rsidR="00B1426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Dlážděná 1003/7, 110 00 Praha 1</w:t>
          </w:r>
        </w:p>
        <w:p w14:paraId="3CB38584" w14:textId="77777777" w:rsidR="00B1426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www.spravazeleznic.cz</w:t>
          </w:r>
        </w:p>
        <w:p w14:paraId="4E15E827" w14:textId="77777777" w:rsidR="00B1426E" w:rsidRDefault="00000000">
          <w:pPr>
            <w:widowControl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Vygenerováno IS KADR, OLTIS Group a.s.</w:t>
          </w:r>
        </w:p>
      </w:tc>
      <w:tc>
        <w:tcPr>
          <w:tcW w:w="1249" w:type="auto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977F9C8" w14:textId="77777777" w:rsidR="00B1426E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Správní orgán ve věci dodržování práv cestujících v železniční dopravě</w:t>
          </w:r>
        </w:p>
        <w:p w14:paraId="4AB650C9" w14:textId="77777777" w:rsidR="00B1426E" w:rsidRDefault="00000000">
          <w:pPr>
            <w:widowControl/>
            <w:jc w:val="center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Drážní úřad, Bělehradská 222/128, 120 00 Praha 2, podatelna@du.gov.cz</w:t>
          </w:r>
        </w:p>
      </w:tc>
      <w:tc>
        <w:tcPr>
          <w:tcW w:w="1450" w:type="pc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F4614C6" w14:textId="77777777" w:rsidR="00B1426E" w:rsidRDefault="00000000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  <w:r>
            <w:rPr>
              <w:rFonts w:ascii="OGJR" w:hAnsi="OGJR" w:cs="OGJR"/>
              <w:color w:val="000000"/>
              <w:sz w:val="16"/>
              <w:szCs w:val="16"/>
            </w:rPr>
            <w:t>Aktuální informace o provozu najdete v aplikaci Datel nebo naskenujte QR kód.</w:t>
          </w:r>
        </w:p>
        <w:p w14:paraId="4E97BD08" w14:textId="77777777" w:rsidR="00B1426E" w:rsidRDefault="00B1426E">
          <w:pPr>
            <w:widowControl/>
            <w:jc w:val="right"/>
            <w:rPr>
              <w:rFonts w:ascii="OGJR" w:hAnsi="OGJR" w:cs="OGJR"/>
              <w:color w:val="000000"/>
              <w:sz w:val="16"/>
              <w:szCs w:val="16"/>
            </w:rPr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E3BB23A" w14:textId="77777777" w:rsidR="00B1426E" w:rsidRDefault="00000000">
          <w:pPr>
            <w:widowControl/>
            <w:jc w:val="right"/>
          </w:pPr>
          <w:r>
            <w:rPr>
              <w:noProof/>
            </w:rPr>
            <w:drawing>
              <wp:inline distT="0" distB="0" distL="0" distR="0" wp14:anchorId="408B47B0" wp14:editId="3A4A090C">
                <wp:extent cx="542290" cy="542290"/>
                <wp:effectExtent l="0" t="0" r="0" b="0"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29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D77D1FA" w14:textId="77777777" w:rsidR="00B1426E" w:rsidRDefault="00B1426E">
    <w:pPr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1EE4B" w14:textId="77777777" w:rsidR="00D84767" w:rsidRDefault="00D84767">
      <w:r>
        <w:separator/>
      </w:r>
    </w:p>
  </w:footnote>
  <w:footnote w:type="continuationSeparator" w:id="0">
    <w:p w14:paraId="53C426E7" w14:textId="77777777" w:rsidR="00D84767" w:rsidRDefault="00D84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Jednoduchtabulka1"/>
      <w:tblW w:w="5000" w:type="pct"/>
      <w:jc w:val="center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insideH w:val="none" w:sz="0" w:space="0" w:color="000000"/>
        <w:insideV w:val="none" w:sz="0" w:space="0" w:color="000000"/>
      </w:tblBorders>
      <w:tblLook w:val="04A0" w:firstRow="1" w:lastRow="0" w:firstColumn="1" w:lastColumn="0" w:noHBand="0" w:noVBand="1"/>
    </w:tblPr>
    <w:tblGrid>
      <w:gridCol w:w="2940"/>
      <w:gridCol w:w="9987"/>
      <w:gridCol w:w="2778"/>
    </w:tblGrid>
    <w:tr w:rsidR="00B1426E" w14:paraId="60FAEB79" w14:textId="77777777">
      <w:trPr>
        <w:jc w:val="center"/>
      </w:trPr>
      <w:tc>
        <w:tcPr>
          <w:tcW w:w="265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65C9D8B8" w14:textId="77777777" w:rsidR="00B1426E" w:rsidRDefault="00000000">
          <w:pPr>
            <w:widowControl/>
          </w:pPr>
          <w:r>
            <w:rPr>
              <w:noProof/>
            </w:rPr>
            <w:drawing>
              <wp:inline distT="0" distB="0" distL="0" distR="0" wp14:anchorId="4027323A" wp14:editId="3ABEB0A4">
                <wp:extent cx="1541145" cy="573405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 dpi="0"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41145" cy="573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14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0B8BF65F" w14:textId="77777777" w:rsidR="00B1426E" w:rsidRDefault="00000000">
          <w:pPr>
            <w:widowControl/>
            <w:jc w:val="center"/>
          </w:pPr>
          <w:r>
            <w:rPr>
              <w:rFonts w:ascii="Arial" w:hAnsi="Arial" w:cs="Arial"/>
              <w:b/>
              <w:bCs/>
              <w:sz w:val="56"/>
              <w:szCs w:val="56"/>
            </w:rPr>
            <w:t>PŘÍJEZDY A ODJEZDY VLAKŮ</w:t>
          </w:r>
        </w:p>
      </w:tc>
      <w:tc>
        <w:tcPr>
          <w:tcW w:w="2507" w:type="dxa"/>
          <w:tcBorders>
            <w:top w:val="nil"/>
            <w:left w:val="nil"/>
            <w:bottom w:val="nil"/>
            <w:right w:val="nil"/>
          </w:tcBorders>
          <w:tcMar>
            <w:left w:w="108" w:type="dxa"/>
            <w:right w:w="108" w:type="dxa"/>
          </w:tcMar>
        </w:tcPr>
        <w:p w14:paraId="137740BA" w14:textId="77777777" w:rsidR="00B1426E" w:rsidRDefault="00000000">
          <w:pPr>
            <w:widowControl/>
            <w:jc w:val="right"/>
            <w:rPr>
              <w:rFonts w:ascii="Arial" w:hAnsi="Arial" w:cs="Arial"/>
              <w:color w:val="000000"/>
              <w:sz w:val="48"/>
              <w:szCs w:val="48"/>
            </w:rPr>
          </w:pPr>
          <w:r>
            <w:rPr>
              <w:rFonts w:ascii="Arial" w:hAnsi="Arial" w:cs="Arial"/>
              <w:color w:val="000000"/>
              <w:sz w:val="48"/>
              <w:szCs w:val="48"/>
            </w:rPr>
            <w:t>Vižina</w:t>
          </w:r>
        </w:p>
      </w:tc>
    </w:tr>
    <w:tr w:rsidR="00B1426E" w14:paraId="4832F5A7" w14:textId="77777777">
      <w:trPr>
        <w:jc w:val="center"/>
      </w:trPr>
      <w:tc>
        <w:tcPr>
          <w:tcW w:w="0" w:type="auto"/>
          <w:gridSpan w:val="3"/>
          <w:tcBorders>
            <w:top w:val="nil"/>
            <w:left w:val="nil"/>
            <w:bottom w:val="nil"/>
            <w:right w:val="nil"/>
          </w:tcBorders>
          <w:tcMar>
            <w:top w:w="57" w:type="dxa"/>
            <w:left w:w="108" w:type="dxa"/>
            <w:right w:w="108" w:type="dxa"/>
          </w:tcMar>
        </w:tcPr>
        <w:p w14:paraId="15285AE0" w14:textId="77777777" w:rsidR="00B1426E" w:rsidRDefault="00000000">
          <w:pPr>
            <w:widowControl/>
            <w:jc w:val="right"/>
            <w:rPr>
              <w:rFonts w:ascii="Arial" w:hAnsi="Arial" w:cs="Arial"/>
              <w:color w:val="000000"/>
              <w:sz w:val="36"/>
              <w:szCs w:val="36"/>
            </w:rPr>
          </w:pPr>
          <w:r>
            <w:rPr>
              <w:rFonts w:ascii="Arial" w:hAnsi="Arial" w:cs="Arial"/>
              <w:color w:val="000000"/>
              <w:sz w:val="36"/>
              <w:szCs w:val="36"/>
            </w:rPr>
            <w:t xml:space="preserve">Platí </w:t>
          </w:r>
          <w:proofErr w:type="gramStart"/>
          <w:r>
            <w:rPr>
              <w:rFonts w:ascii="Arial" w:hAnsi="Arial" w:cs="Arial"/>
              <w:color w:val="000000"/>
              <w:sz w:val="36"/>
              <w:szCs w:val="36"/>
            </w:rPr>
            <w:t>od - do</w:t>
          </w:r>
          <w:proofErr w:type="gramEnd"/>
          <w:r>
            <w:rPr>
              <w:rFonts w:ascii="Arial" w:hAnsi="Arial" w:cs="Arial"/>
              <w:color w:val="000000"/>
              <w:sz w:val="36"/>
              <w:szCs w:val="36"/>
            </w:rPr>
            <w:t xml:space="preserve">: </w:t>
          </w:r>
          <w:r>
            <w:rPr>
              <w:rFonts w:ascii="Arial" w:hAnsi="Arial" w:cs="Arial"/>
              <w:b/>
              <w:bCs/>
              <w:color w:val="000000"/>
              <w:sz w:val="36"/>
              <w:szCs w:val="36"/>
            </w:rPr>
            <w:t>14.06.2026 - 12.12.2026</w:t>
          </w:r>
        </w:p>
      </w:tc>
    </w:tr>
  </w:tbl>
  <w:p w14:paraId="6606DCEF" w14:textId="77777777" w:rsidR="00B1426E" w:rsidRDefault="00000000">
    <w:pPr>
      <w:widowControl/>
    </w:pPr>
    <w:r>
      <w:rPr>
        <w:color w:val="FFFFFF"/>
        <w:sz w:val="10"/>
        <w:szCs w:val="10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26E"/>
    <w:rsid w:val="00925934"/>
    <w:rsid w:val="00A52573"/>
    <w:rsid w:val="00B1426E"/>
    <w:rsid w:val="00D84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FCBE3"/>
  <w15:docId w15:val="{8600CD5F-1838-4132-A34F-27658825D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pPr>
      <w:widowControl w:val="0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548</Words>
  <Characters>3239</Characters>
  <Application>Microsoft Office Word</Application>
  <DocSecurity>0</DocSecurity>
  <Lines>26</Lines>
  <Paragraphs>7</Paragraphs>
  <ScaleCrop>false</ScaleCrop>
  <Company>Sprava zeleznic, statni organizace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OLTIS Group a.s.</dc:creator>
  <cp:lastModifiedBy>Sklenička Pavel</cp:lastModifiedBy>
  <cp:revision>2</cp:revision>
  <dcterms:created xsi:type="dcterms:W3CDTF">2026-06-05T07:43:00Z</dcterms:created>
  <dcterms:modified xsi:type="dcterms:W3CDTF">2026-06-05T07:43:00Z</dcterms:modified>
</cp:coreProperties>
</file>